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运城市第二医院</w:t>
      </w:r>
    </w:p>
    <w:p>
      <w:pPr>
        <w:jc w:val="center"/>
        <w:rPr>
          <w:rFonts w:hint="eastAsia"/>
          <w:b/>
          <w:bCs/>
          <w:sz w:val="24"/>
          <w:szCs w:val="24"/>
        </w:rPr>
      </w:pPr>
      <w:r>
        <w:rPr>
          <w:rFonts w:hint="eastAsia"/>
          <w:b/>
          <w:bCs/>
          <w:sz w:val="24"/>
          <w:szCs w:val="24"/>
        </w:rPr>
        <w:t>检验科拟开展项目介绍及价格公示</w:t>
      </w:r>
    </w:p>
    <w:p>
      <w:pPr>
        <w:jc w:val="center"/>
        <w:rPr>
          <w:rFonts w:hint="eastAsia"/>
          <w:b/>
          <w:bCs/>
          <w:sz w:val="24"/>
          <w:szCs w:val="24"/>
        </w:rPr>
      </w:pPr>
    </w:p>
    <w:p>
      <w:r>
        <w:rPr>
          <w:b/>
          <w:bCs/>
        </w:rPr>
        <w:t>1、十三种呼吸道病原体核酸检测</w:t>
      </w:r>
      <w:bookmarkStart w:id="0" w:name="OLE_LINK11"/>
      <w:r>
        <w:rPr>
          <w:b/>
          <w:bCs/>
        </w:rPr>
        <w:t>（甲型流感病毒、甲流H1N1、甲流H3N2、副流感病毒、偏肺病毒、乙型流感病毒、呼吸道合胞病毒、冠状病毒、鼻病毒、博卡病毒、衣原体、肺炎支原体、腺病毒）</w:t>
      </w:r>
    </w:p>
    <w:p>
      <w:r>
        <w:rPr>
          <w:b/>
          <w:bCs/>
        </w:rPr>
        <w:t>收费：3*157=471元。</w:t>
      </w:r>
      <w:bookmarkEnd w:id="0"/>
    </w:p>
    <w:p>
      <w:r>
        <w:t>临床意义：本项目用于急性呼吸道感染的病原学检查，可快速有效的同时检测13种常见呼吸道病原体（甲型流感病毒、甲流H1N1、甲流H3N2、副流感病毒、偏肺病毒、乙型流感病毒、呼吸道合胞病毒、冠状病毒、鼻病毒、博卡病毒、衣原体、肺炎支原体、腺病毒），有助于快速明确病因和合理使用抗菌药物，针对性开展抗病毒治疗等，提升治疗效果，降低患者负担，对病原体类传染病的早发现、早隔离、早报告和早治疗具有十分重要的意义。</w:t>
      </w:r>
    </w:p>
    <w:p>
      <w:r>
        <w:t> </w:t>
      </w:r>
    </w:p>
    <w:p>
      <w:r>
        <w:rPr>
          <w:b/>
          <w:bCs/>
        </w:rPr>
        <w:t>2、乙肝病毒耐药基因检测</w:t>
      </w:r>
    </w:p>
    <w:p>
      <w:r>
        <w:rPr>
          <w:b/>
          <w:bCs/>
        </w:rPr>
        <w:t>收费：5*157=785元</w:t>
      </w:r>
    </w:p>
    <w:p>
      <w:r>
        <w:t>临床意义：乙肝病毒（HBV）可以在慢性持续性感染过程中自然变异，也可因抗病毒药物治疗诱导病毒变异，均可导致对抗病毒药物敏感性下降。慢性乙肝患者治疗前进行耐药基因检测，可避免无效用药，降低不良反应，有助于提高患者抗病毒治疗效果，有效减少原发耐药发生。</w:t>
      </w:r>
    </w:p>
    <w:p>
      <w:r>
        <w:t> </w:t>
      </w:r>
    </w:p>
    <w:p>
      <w:r>
        <w:rPr>
          <w:b/>
          <w:bCs/>
        </w:rPr>
        <w:t>3、人类免疫缺陷病毒（Human Immunodeficiency Virus, HIV）耐药基因检测</w:t>
      </w:r>
    </w:p>
    <w:p>
      <w:r>
        <w:rPr>
          <w:b/>
          <w:bCs/>
        </w:rPr>
        <w:t>收费：13*157=2041元</w:t>
      </w:r>
    </w:p>
    <w:p>
      <w:r>
        <w:t>临床意义：</w:t>
      </w:r>
      <w:bookmarkStart w:id="1" w:name="OLE_LINK12"/>
      <w:r>
        <w:t>HIV耐药是指HIV病毒对抗HIV感染所使用的药物产生了抵抗力</w:t>
      </w:r>
      <w:bookmarkEnd w:id="1"/>
      <w:r>
        <w:t>，导致这些药物失效或效果降低。HIV感染者在抗病毒治疗前进行耐药检测，可指导医生制定精准的抗病毒治疗方案，保证抗病毒治疗的效果；抗病毒治疗失败的病人进行耐药检测，医生根据耐药检测结果调整治疗方案，可以提高治疗效果，延长患者生命质量和寿命。</w:t>
      </w:r>
    </w:p>
    <w:p>
      <w:r>
        <w:t> </w:t>
      </w:r>
    </w:p>
    <w:p>
      <w:r>
        <w:rPr>
          <w:b/>
          <w:bCs/>
        </w:rPr>
        <w:t>4、伊立替康药物代谢基因（UGT1A1）多态性</w:t>
      </w:r>
    </w:p>
    <w:p>
      <w:r>
        <w:rPr>
          <w:b/>
          <w:bCs/>
        </w:rPr>
        <w:t>收费：357*2=714元  按照“化学药物用药指导的基因检测”收费</w:t>
      </w:r>
    </w:p>
    <w:p>
      <w:r>
        <w:t>临床意义：伊立替康主要用于治疗成人晚期/转移性大肠癌患者的治疗，对小细胞和非小细胞肺癌及宫颈癌和卵巢癌亦有疗效。通过检测UGT1A1基因多态性，可以预测个体对特定药物的代谢能力，帮助医生确定最适合的药物剂量，减少不良反应，制定个性化的治疗方案，提高治疗效果。此外，通过检测UGT1A1基因多态性，可以帮助识别Gilbert综合征的携带者，为其提供相应的健康管理建议。</w:t>
      </w:r>
    </w:p>
    <w:p>
      <w:r>
        <w:t> </w:t>
      </w:r>
    </w:p>
    <w:p>
      <w:bookmarkStart w:id="2" w:name="OLE_LINK18"/>
      <w:bookmarkEnd w:id="2"/>
      <w:bookmarkStart w:id="3" w:name="OLE_LINK17"/>
      <w:r>
        <w:rPr>
          <w:b/>
          <w:bCs/>
        </w:rPr>
        <w:t>5、表皮生长因子受体(epidermal growth factor receptor,EGFR)基因</w:t>
      </w:r>
      <w:bookmarkEnd w:id="3"/>
      <w:r>
        <w:rPr>
          <w:b/>
          <w:bCs/>
        </w:rPr>
        <w:t>突变检测</w:t>
      </w:r>
    </w:p>
    <w:p>
      <w:r>
        <w:rPr>
          <w:b/>
          <w:bCs/>
        </w:rPr>
        <w:t>收费：157*21=3297元</w:t>
      </w:r>
    </w:p>
    <w:p>
      <w:r>
        <w:t>临床意义： EGFR是一种存在于细胞表面的受体，能够促进细胞生长和分裂。在某些类型的癌症中，特别是非小细胞肺癌（NSCLC），EGFR基因发生突变可以导致过度激活EGFR信号通路，促进肿瘤生长和扩散。EGFR突变阳性的患者使用含有EGFR酪氨酸激酶抑制剂（TKI）的治疗，通常会有更好的治疗反应率和生存期，与EGFR突变阴性患者相比，其治疗方案和预后有显著差异。对于不存在EGFR基因突变的非小细胞肺癌患者，EGFR-TKI治疗的有效率低。EGFR基因突变检测在肺癌特别是非小细胞肺癌的治疗中具有重要的临床意义，有助于提高治疗的针对性和有效性，改善患者的预后。</w:t>
      </w:r>
    </w:p>
    <w:p>
      <w:bookmarkStart w:id="4" w:name="OLE_LINK21"/>
      <w:r>
        <w:t> </w:t>
      </w:r>
      <w:bookmarkEnd w:id="4"/>
    </w:p>
    <w:p>
      <w:bookmarkStart w:id="5" w:name="OLE_LINK20"/>
      <w:bookmarkEnd w:id="5"/>
      <w:bookmarkStart w:id="6" w:name="OLE_LINK19"/>
      <w:r>
        <w:rPr>
          <w:b/>
          <w:bCs/>
        </w:rPr>
        <w:t>6、Kirsten</w:t>
      </w:r>
      <w:bookmarkEnd w:id="6"/>
      <w:r>
        <w:rPr>
          <w:b/>
          <w:bCs/>
        </w:rPr>
        <w:t>大鼠肉瘤病毒癌基因同源物（Kirsten rats arcomaviral oncogene homolog，KRAS）基因突变检测</w:t>
      </w:r>
    </w:p>
    <w:p>
      <w:r>
        <w:rPr>
          <w:b/>
          <w:bCs/>
        </w:rPr>
        <w:t>收费：157*7=1099元</w:t>
      </w:r>
    </w:p>
    <w:p>
      <w:r>
        <w:t>临床意义：西妥昔单抗和帕尼单抗均通过直接抑制EGFR从而发挥抗肿瘤的作用，在结直肠癌和头颈部癌的靶向治疗中都有肯定的效果。西妥昔单抗治疗的有效性受其下游基因KRAS状态的影响，突变型的KRAS无需接受上游EGFR信号即能够自动活化该通路并启动下游信号的转导。只有KRAS基因野生型的患者才能从抗EGFR的治疗中获益，而突变型的患者则不能。KRAS基因突变检测对于癌症患者的治疗选择、预后评估和个体化医疗策略的制定具有重要意义。</w:t>
      </w:r>
    </w:p>
    <w:p>
      <w:r>
        <w:t> </w:t>
      </w:r>
    </w:p>
    <w:p>
      <w:r>
        <w:rPr>
          <w:b/>
          <w:bCs/>
        </w:rPr>
        <w:t>7、肿瘤细胞微卫星不稳定性检测</w:t>
      </w:r>
    </w:p>
    <w:p>
      <w:r>
        <w:rPr>
          <w:b/>
          <w:bCs/>
        </w:rPr>
        <w:t>收费：157*9=1413元</w:t>
      </w:r>
    </w:p>
    <w:p>
      <w:r>
        <w:t>临床意义：肿瘤细胞微卫星不稳定性常见于某些类型的癌症，特别是结直肠癌、子宫内膜癌等，检测肿瘤细胞中的微卫星不稳定性可以为肿瘤的分类、预后评估以及治疗方案的选择提供重要信息。本项目补充现有的IHC检测方法，辅助临床医生诊断林奇综合症、判断预后、预测术后辅助化疗疗效以及指导泛癌种实体瘤免疫治疗。</w:t>
      </w:r>
    </w:p>
    <w:p>
      <w:r>
        <w:t> </w:t>
      </w:r>
    </w:p>
    <w:p>
      <w:r>
        <w:rPr>
          <w:b/>
          <w:bCs/>
        </w:rPr>
        <w:t>8、乙醛脱氢酶(aldehyde dehydrogenase,ALDH)基因检测</w:t>
      </w:r>
    </w:p>
    <w:p>
      <w:r>
        <w:rPr>
          <w:b/>
          <w:bCs/>
        </w:rPr>
        <w:t>收费：357元  按照“化学药物用药指导的基因检测”收费</w:t>
      </w:r>
    </w:p>
    <w:p>
      <w:r>
        <w:t>临床意义：（1）硝酸甘油片是抗冠心病心绞痛急性发作的常规首选药方，ALDH2突变基因携带者在使用硝酸甘油时，不能及时有效地发挥药效和缓解心绞痛，因此，服用该药的患者都应该了解自己是否携带ALDH2突变基因。（2）酒精代谢通过ALDH2和ADH1B基因检测，可明确个体的酒精代谢能力以及可能引起的身体损伤，通过检测ALDH2基因多态性，可以评估个体对酒精的代谢能力，有助于个人了解自己对酒精的敏感性，用于健康饮酒指导。</w:t>
      </w:r>
    </w:p>
    <w:p>
      <w:r>
        <w:t> </w:t>
      </w:r>
    </w:p>
    <w:p>
      <w:r>
        <w:rPr>
          <w:b/>
          <w:bCs/>
        </w:rPr>
        <w:t>9、氯吡格雷用药相关CYP2C19基因多态性检测</w:t>
      </w:r>
    </w:p>
    <w:p>
      <w:r>
        <w:rPr>
          <w:b/>
          <w:bCs/>
        </w:rPr>
        <w:t>收费：357*2=714元  按照“化学药物用药指导的基因检测”收费</w:t>
      </w:r>
    </w:p>
    <w:p>
      <w:r>
        <w:t>临床意义：CYP2C19酶的活性受到CYP2C19基因多态性的影响，这种多态性在不同人群中的分布有所不同，导致个体对某些药物的代谢速度存在显著差异。CYP2C19基因检测可以测定S-美芬妥英羟化酶在人体内活性的高低，从而判断氯吡格雷等心血管抗凝药物，苯妥英、丙戊酸等抗癫痫药物，奥美拉唑等质子泵抑制剂类药物以及伏立康唑等抗真菌类药物在体内代谢活性的高低，为指导临床制定个体化用药方案提供重要参考。</w:t>
      </w:r>
    </w:p>
    <w:p>
      <w:r>
        <w:t> </w:t>
      </w:r>
    </w:p>
    <w:p>
      <w:r>
        <w:rPr>
          <w:b/>
          <w:bCs/>
        </w:rPr>
        <w:t>10、人类8基因突变联合检测（半导体测序法）</w:t>
      </w:r>
    </w:p>
    <w:p>
      <w:r>
        <w:rPr>
          <w:b/>
          <w:bCs/>
        </w:rPr>
        <w:t>收费：157*48=7536元</w:t>
      </w:r>
    </w:p>
    <w:p>
      <w:r>
        <w:t>临床意义：基于多项非小细胞肺癌临床实践指南及最新临床研究成果，涵盖了目前肺癌临床上最常见的、且拥有靶向药物的几种基因，可以有效避免使用靶向治疗的患者漏检。可同时检测基因突变、基因融合及基因异常表达等变异类型，用于晚期非小细胞肺癌患者用药指导及预后预测。</w:t>
      </w:r>
    </w:p>
    <w:p>
      <w:r>
        <w:t>费用计算办法为项目所测位点数*157元/项。</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mNmYzZWEzNGIxZjk5N2ZkOGE4ZjhhZjIyZGY1ZDEifQ=="/>
  </w:docVars>
  <w:rsids>
    <w:rsidRoot w:val="008815A0"/>
    <w:rsid w:val="008815A0"/>
    <w:rsid w:val="00CE28A2"/>
    <w:rsid w:val="3B0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374</Words>
  <Characters>2136</Characters>
  <Lines>17</Lines>
  <Paragraphs>5</Paragraphs>
  <TotalTime>3</TotalTime>
  <ScaleCrop>false</ScaleCrop>
  <LinksUpToDate>false</LinksUpToDate>
  <CharactersWithSpaces>2505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2024-03-13T10:05:00Z</dcterms:created>
  <dc:creator>Microsoft</dc:creator>
  <cp:lastModifiedBy>WPS_534476655</cp:lastModifiedBy>
  <dcterms:modified xsi:type="dcterms:W3CDTF">2024-03-14T02:45:07Z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6B502DA6D7BB4C3A949AE6884AEED99C_12</vt:lpwstr>
  </property>
</Properties>
</file>